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 w:firstLineChars="100"/>
        <w:rPr>
          <w:rFonts w:ascii="黑体" w:eastAsia="黑体"/>
          <w:bCs/>
          <w:color w:val="000000"/>
          <w:sz w:val="28"/>
          <w:szCs w:val="28"/>
        </w:rPr>
      </w:pPr>
      <w:r>
        <w:rPr>
          <w:rFonts w:hint="eastAsia" w:ascii="黑体" w:eastAsia="黑体"/>
          <w:bCs/>
          <w:color w:val="000000"/>
          <w:sz w:val="28"/>
          <w:szCs w:val="28"/>
        </w:rPr>
        <w:t>一、放射治疗模拟机参数要求</w:t>
      </w:r>
    </w:p>
    <w:p>
      <w:pPr>
        <w:pStyle w:val="2"/>
        <w:tabs>
          <w:tab w:val="left" w:pos="540"/>
          <w:tab w:val="left" w:pos="900"/>
        </w:tabs>
        <w:ind w:firstLine="482" w:firstLineChars="200"/>
        <w:rPr>
          <w:b/>
          <w:sz w:val="24"/>
          <w:szCs w:val="24"/>
        </w:rPr>
      </w:pPr>
      <w:r>
        <w:rPr>
          <w:rFonts w:hint="eastAsia"/>
          <w:b/>
          <w:sz w:val="24"/>
          <w:szCs w:val="24"/>
        </w:rPr>
        <w:t>1）、模拟机配置清单：</w:t>
      </w:r>
    </w:p>
    <w:tbl>
      <w:tblPr>
        <w:tblStyle w:val="4"/>
        <w:tblW w:w="8099"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52"/>
        <w:gridCol w:w="4494"/>
        <w:gridCol w:w="689"/>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序号</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配置名称</w:t>
            </w:r>
          </w:p>
        </w:tc>
        <w:tc>
          <w:tcPr>
            <w:tcW w:w="4494"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配置要求</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单位</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kern w:val="0"/>
                <w:szCs w:val="21"/>
              </w:rPr>
              <w:t>1</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color w:val="000000"/>
                <w:kern w:val="0"/>
                <w:szCs w:val="21"/>
              </w:rPr>
              <w:t>★球管</w:t>
            </w:r>
          </w:p>
        </w:tc>
        <w:tc>
          <w:tcPr>
            <w:tcW w:w="4494" w:type="dxa"/>
            <w:tcBorders>
              <w:top w:val="single" w:color="auto" w:sz="4" w:space="0"/>
              <w:left w:val="single" w:color="auto" w:sz="4" w:space="0"/>
              <w:bottom w:val="single" w:color="auto" w:sz="4" w:space="0"/>
              <w:right w:val="single" w:color="auto" w:sz="4" w:space="0"/>
            </w:tcBorders>
          </w:tcPr>
          <w:p>
            <w:pPr>
              <w:rPr>
                <w:rFonts w:ascii="宋体"/>
                <w:szCs w:val="21"/>
              </w:rPr>
            </w:pPr>
            <w:r>
              <w:rPr>
                <w:rFonts w:hint="eastAsia" w:ascii="宋体" w:hAnsi="宋体"/>
                <w:kern w:val="0"/>
                <w:szCs w:val="21"/>
              </w:rPr>
              <w:t>最大毫安≥500mA，最大峰值电压：150kv。双焦点，球管保护和热过载显示，进口品牌。</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kern w:val="0"/>
                <w:szCs w:val="21"/>
              </w:rPr>
              <w:t>只</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kern w:val="0"/>
                <w:szCs w:val="21"/>
              </w:rPr>
              <w:t>2</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color w:val="000000"/>
                <w:kern w:val="0"/>
                <w:szCs w:val="21"/>
              </w:rPr>
              <w:t>★影像增强器</w:t>
            </w:r>
          </w:p>
        </w:tc>
        <w:tc>
          <w:tcPr>
            <w:tcW w:w="4494" w:type="dxa"/>
            <w:tcBorders>
              <w:top w:val="single" w:color="auto" w:sz="4" w:space="0"/>
              <w:left w:val="single" w:color="auto" w:sz="4" w:space="0"/>
              <w:bottom w:val="single" w:color="auto" w:sz="4" w:space="0"/>
              <w:right w:val="single" w:color="auto" w:sz="4" w:space="0"/>
            </w:tcBorders>
          </w:tcPr>
          <w:p>
            <w:pPr>
              <w:rPr>
                <w:rFonts w:ascii="宋体"/>
                <w:szCs w:val="21"/>
              </w:rPr>
            </w:pPr>
            <w:r>
              <w:rPr>
                <w:rFonts w:hint="eastAsia" w:ascii="宋体" w:hAnsi="宋体"/>
                <w:kern w:val="0"/>
                <w:szCs w:val="21"/>
              </w:rPr>
              <w:t>法国泰雷兹或日本东芝，12寸，100万像素CCD相机。</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kern w:val="0"/>
                <w:szCs w:val="21"/>
              </w:rPr>
              <w:t>台</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kern w:val="0"/>
                <w:szCs w:val="21"/>
              </w:rPr>
              <w:t>3</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color w:val="000000"/>
                <w:kern w:val="0"/>
                <w:szCs w:val="21"/>
              </w:rPr>
              <w:t>★</w:t>
            </w:r>
            <w:r>
              <w:rPr>
                <w:rFonts w:hint="eastAsia" w:ascii="宋体" w:hAnsi="宋体"/>
                <w:kern w:val="0"/>
                <w:szCs w:val="21"/>
              </w:rPr>
              <w:t>高压发生器</w:t>
            </w:r>
          </w:p>
        </w:tc>
        <w:tc>
          <w:tcPr>
            <w:tcW w:w="4494" w:type="dxa"/>
            <w:tcBorders>
              <w:top w:val="single" w:color="auto" w:sz="4" w:space="0"/>
              <w:left w:val="single" w:color="auto" w:sz="4" w:space="0"/>
              <w:bottom w:val="single" w:color="auto" w:sz="4" w:space="0"/>
              <w:right w:val="single" w:color="auto" w:sz="4" w:space="0"/>
            </w:tcBorders>
          </w:tcPr>
          <w:p>
            <w:pPr>
              <w:rPr>
                <w:rFonts w:ascii="宋体"/>
                <w:szCs w:val="21"/>
              </w:rPr>
            </w:pPr>
            <w:r>
              <w:rPr>
                <w:rFonts w:hint="eastAsia" w:ascii="宋体" w:hAnsi="宋体"/>
                <w:kern w:val="0"/>
                <w:szCs w:val="21"/>
              </w:rPr>
              <w:t>输出功率≥50kW，加拿大CPI或加拿大EMD。</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kern w:val="0"/>
                <w:szCs w:val="21"/>
              </w:rPr>
              <w:t>台</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4</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kern w:val="0"/>
                <w:szCs w:val="21"/>
              </w:rPr>
              <w:t>系统主机架</w:t>
            </w:r>
          </w:p>
        </w:tc>
        <w:tc>
          <w:tcPr>
            <w:tcW w:w="4494" w:type="dxa"/>
            <w:tcBorders>
              <w:top w:val="single" w:color="auto" w:sz="4" w:space="0"/>
              <w:left w:val="single" w:color="auto" w:sz="4" w:space="0"/>
              <w:bottom w:val="single" w:color="auto" w:sz="4" w:space="0"/>
              <w:right w:val="single" w:color="auto" w:sz="4" w:space="0"/>
            </w:tcBorders>
          </w:tcPr>
          <w:p>
            <w:pPr>
              <w:rPr>
                <w:rFonts w:ascii="宋体"/>
                <w:szCs w:val="21"/>
              </w:rPr>
            </w:pPr>
            <w:r>
              <w:rPr>
                <w:rFonts w:hint="eastAsia" w:ascii="宋体" w:hAnsi="宋体"/>
                <w:kern w:val="0"/>
                <w:szCs w:val="21"/>
              </w:rPr>
              <w:t>4.1旋转等中心精度：≤1mm；</w:t>
            </w:r>
          </w:p>
        </w:tc>
        <w:tc>
          <w:tcPr>
            <w:tcW w:w="6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台</w:t>
            </w:r>
          </w:p>
        </w:tc>
        <w:tc>
          <w:tcPr>
            <w:tcW w:w="6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4494" w:type="dxa"/>
            <w:tcBorders>
              <w:top w:val="single" w:color="auto" w:sz="4" w:space="0"/>
              <w:left w:val="single" w:color="auto" w:sz="4" w:space="0"/>
              <w:bottom w:val="single" w:color="auto" w:sz="4" w:space="0"/>
              <w:right w:val="single" w:color="auto" w:sz="4" w:space="0"/>
            </w:tcBorders>
          </w:tcPr>
          <w:p>
            <w:pPr>
              <w:rPr>
                <w:rFonts w:ascii="宋体"/>
                <w:szCs w:val="21"/>
              </w:rPr>
            </w:pPr>
            <w:r>
              <w:rPr>
                <w:rFonts w:hint="eastAsia" w:ascii="宋体" w:hAnsi="宋体"/>
                <w:kern w:val="0"/>
                <w:szCs w:val="21"/>
              </w:rPr>
              <w:t>4.2源轴距 (SAD) ：750—1200mm连续可调；</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r>
              <w:rPr>
                <w:rFonts w:hint="eastAsia" w:ascii="宋体" w:hAnsi="宋体"/>
                <w:kern w:val="0"/>
                <w:szCs w:val="21"/>
              </w:rPr>
              <w:t>4.3机架旋转范围：</w:t>
            </w:r>
          </w:p>
          <w:p>
            <w:pPr>
              <w:rPr>
                <w:rFonts w:ascii="宋体"/>
                <w:kern w:val="0"/>
                <w:szCs w:val="21"/>
              </w:rPr>
            </w:pPr>
            <w:r>
              <w:rPr>
                <w:rFonts w:hint="eastAsia" w:ascii="宋体" w:hAnsi="宋体"/>
                <w:kern w:val="0"/>
                <w:szCs w:val="21"/>
              </w:rPr>
              <w:t>≥±185°(SAD≤100cm)</w:t>
            </w:r>
          </w:p>
          <w:p>
            <w:pPr>
              <w:rPr>
                <w:rFonts w:ascii="宋体"/>
                <w:kern w:val="0"/>
                <w:szCs w:val="21"/>
              </w:rPr>
            </w:pPr>
            <w:r>
              <w:rPr>
                <w:rFonts w:hint="eastAsia" w:ascii="宋体" w:hAnsi="宋体"/>
                <w:kern w:val="0"/>
                <w:szCs w:val="21"/>
              </w:rPr>
              <w:t>≥±125°(SAD≥100cm)</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r>
              <w:rPr>
                <w:rFonts w:hint="eastAsia" w:ascii="宋体" w:hAnsi="宋体"/>
                <w:kern w:val="0"/>
                <w:szCs w:val="21"/>
              </w:rPr>
              <w:t>4.4准直器旋转范围：</w:t>
            </w:r>
          </w:p>
          <w:p>
            <w:pPr>
              <w:rPr>
                <w:rFonts w:ascii="宋体"/>
                <w:kern w:val="0"/>
                <w:szCs w:val="21"/>
              </w:rPr>
            </w:pPr>
            <w:r>
              <w:rPr>
                <w:rFonts w:hint="eastAsia" w:ascii="宋体" w:hAnsi="宋体"/>
                <w:kern w:val="0"/>
                <w:szCs w:val="21"/>
              </w:rPr>
              <w:t>-100°～+100°</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r>
              <w:rPr>
                <w:rFonts w:hint="eastAsia" w:ascii="宋体" w:hAnsi="宋体"/>
                <w:kern w:val="0"/>
                <w:szCs w:val="21"/>
              </w:rPr>
              <w:t>4.5界定野范围：</w:t>
            </w:r>
          </w:p>
          <w:p>
            <w:pPr>
              <w:rPr>
                <w:rFonts w:ascii="宋体"/>
                <w:kern w:val="0"/>
                <w:szCs w:val="21"/>
              </w:rPr>
            </w:pPr>
            <w:r>
              <w:rPr>
                <w:rFonts w:hint="eastAsia" w:ascii="宋体" w:hAnsi="宋体"/>
                <w:kern w:val="0"/>
                <w:szCs w:val="21"/>
              </w:rPr>
              <w:t>0cm×0cm～40cm×40cm(SAD=100cm处)</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r>
              <w:rPr>
                <w:rFonts w:hint="eastAsia" w:ascii="宋体" w:hAnsi="宋体"/>
                <w:kern w:val="0"/>
                <w:szCs w:val="21"/>
              </w:rPr>
              <w:t>4.6独立井线：</w:t>
            </w:r>
          </w:p>
          <w:p>
            <w:pPr>
              <w:rPr>
                <w:rFonts w:ascii="宋体"/>
                <w:kern w:val="0"/>
                <w:szCs w:val="21"/>
              </w:rPr>
            </w:pPr>
            <w:r>
              <w:rPr>
                <w:rFonts w:hint="eastAsia" w:ascii="宋体" w:hAnsi="宋体"/>
                <w:kern w:val="0"/>
                <w:szCs w:val="21"/>
              </w:rPr>
              <w:t>可独立运动，过等中心线距离≥10cm；</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r>
              <w:rPr>
                <w:rFonts w:hint="eastAsia" w:ascii="宋体" w:hAnsi="宋体"/>
                <w:kern w:val="0"/>
                <w:szCs w:val="21"/>
              </w:rPr>
              <w:t>4.7限束光阑范围：</w:t>
            </w:r>
          </w:p>
          <w:p>
            <w:pPr>
              <w:rPr>
                <w:rFonts w:ascii="宋体"/>
                <w:kern w:val="0"/>
                <w:szCs w:val="21"/>
              </w:rPr>
            </w:pPr>
            <w:r>
              <w:rPr>
                <w:rFonts w:hint="eastAsia" w:ascii="宋体" w:hAnsi="宋体"/>
                <w:kern w:val="0"/>
                <w:szCs w:val="21"/>
              </w:rPr>
              <w:t>0 cm×0cm～40cm×40cm(SAD=100cm)；</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r>
              <w:rPr>
                <w:rFonts w:hint="eastAsia" w:ascii="宋体" w:hAnsi="宋体"/>
                <w:kern w:val="0"/>
                <w:szCs w:val="21"/>
              </w:rPr>
              <w:t>4.8独立光阑：</w:t>
            </w:r>
          </w:p>
          <w:p>
            <w:pPr>
              <w:rPr>
                <w:rFonts w:ascii="宋体"/>
                <w:kern w:val="0"/>
                <w:szCs w:val="21"/>
              </w:rPr>
            </w:pPr>
            <w:r>
              <w:rPr>
                <w:rFonts w:hint="eastAsia" w:ascii="宋体" w:hAnsi="宋体"/>
                <w:kern w:val="0"/>
                <w:szCs w:val="21"/>
              </w:rPr>
              <w:t>可独立运动，过等中心线距离≥10cm。</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5</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kern w:val="0"/>
                <w:szCs w:val="21"/>
              </w:rPr>
              <w:t>治疗床</w:t>
            </w: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r>
              <w:rPr>
                <w:rFonts w:hint="eastAsia" w:ascii="宋体" w:hAnsi="宋体"/>
                <w:kern w:val="0"/>
                <w:szCs w:val="21"/>
              </w:rPr>
              <w:t>精确治疗床，高强度碳素纤维床面，最大承重：≥135kg。</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台</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6</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安全防撞装置</w:t>
            </w: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r>
              <w:rPr>
                <w:rFonts w:hint="eastAsia" w:ascii="宋体" w:hAnsi="宋体"/>
                <w:kern w:val="0"/>
                <w:szCs w:val="21"/>
              </w:rPr>
              <w:t>具备机头，影像增强器防撞，可紧急停止。避让时透视不中断。</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套</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7</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控制计算机</w:t>
            </w: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r>
              <w:rPr>
                <w:rFonts w:hint="eastAsia" w:ascii="宋体" w:hAnsi="宋体"/>
                <w:kern w:val="0"/>
                <w:szCs w:val="21"/>
              </w:rPr>
              <w:t>要求不低于3.0G以上多核CPU，内存≥4G，硬盘≥500G，DVD-RW，千兆以太网卡。可通过光盘刻录存储DICOM3.0影像和定位参数。</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kern w:val="0"/>
                <w:szCs w:val="21"/>
              </w:rPr>
              <w:t>台</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kern w:val="0"/>
                <w:szCs w:val="21"/>
              </w:rPr>
              <w:t>8</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监视器</w:t>
            </w: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r>
              <w:rPr>
                <w:rFonts w:hint="eastAsia" w:ascii="宋体" w:hAnsi="宋体"/>
                <w:kern w:val="0"/>
                <w:szCs w:val="21"/>
              </w:rPr>
              <w:t>≥19″医学专用液晶显示器。</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台</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9</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显示器</w:t>
            </w: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r>
              <w:rPr>
                <w:rFonts w:hint="eastAsia" w:ascii="宋体" w:hAnsi="宋体"/>
                <w:kern w:val="0"/>
                <w:szCs w:val="21"/>
              </w:rPr>
              <w:t>≥19″液晶数据显示器。</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台</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10</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打印机</w:t>
            </w: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r>
              <w:rPr>
                <w:rFonts w:hint="eastAsia" w:ascii="宋体" w:hAnsi="宋体"/>
                <w:kern w:val="0"/>
                <w:szCs w:val="21"/>
              </w:rPr>
              <w:t>激光打印机，A4幅。</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台</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11</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DICOM接口</w:t>
            </w: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r>
              <w:rPr>
                <w:rFonts w:hint="eastAsia" w:ascii="宋体" w:hAnsi="宋体"/>
                <w:kern w:val="0"/>
                <w:szCs w:val="21"/>
              </w:rPr>
              <w:t>具备DICOM接口，负责免费连接医院网络及其它设备。</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套</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12</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限束光阑</w:t>
            </w: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套</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13</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准直器</w:t>
            </w: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r>
              <w:rPr>
                <w:rFonts w:hint="eastAsia" w:ascii="宋体" w:hAnsi="宋体"/>
                <w:kern w:val="0"/>
                <w:szCs w:val="21"/>
              </w:rPr>
              <w:t>照射野旋转角度：±100°</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套</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14</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color w:val="000000"/>
                <w:kern w:val="0"/>
                <w:szCs w:val="21"/>
              </w:rPr>
              <w:t>★</w:t>
            </w:r>
            <w:r>
              <w:rPr>
                <w:rFonts w:hint="eastAsia" w:ascii="宋体" w:hAnsi="宋体"/>
                <w:kern w:val="0"/>
                <w:szCs w:val="21"/>
              </w:rPr>
              <w:t>激光定位灯</w:t>
            </w: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r>
              <w:rPr>
                <w:rFonts w:hint="eastAsia" w:ascii="宋体" w:hAnsi="宋体"/>
                <w:kern w:val="0"/>
                <w:szCs w:val="21"/>
              </w:rPr>
              <w:t>德国LAP</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件</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15</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控制柜</w:t>
            </w: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台</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16</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UPS电源</w:t>
            </w:r>
          </w:p>
        </w:tc>
        <w:tc>
          <w:tcPr>
            <w:tcW w:w="4494" w:type="dxa"/>
            <w:tcBorders>
              <w:top w:val="single" w:color="auto" w:sz="4" w:space="0"/>
              <w:left w:val="single" w:color="auto" w:sz="4" w:space="0"/>
              <w:bottom w:val="single" w:color="auto" w:sz="4" w:space="0"/>
              <w:right w:val="single" w:color="auto" w:sz="4" w:space="0"/>
            </w:tcBorders>
          </w:tcPr>
          <w:p>
            <w:pPr>
              <w:rPr>
                <w:rFonts w:ascii="宋体"/>
                <w:color w:val="FF0000"/>
                <w:kern w:val="0"/>
                <w:szCs w:val="21"/>
              </w:rPr>
            </w:pPr>
            <w:r>
              <w:rPr>
                <w:rFonts w:hint="eastAsia" w:ascii="宋体" w:hAnsi="宋体"/>
                <w:kern w:val="0"/>
                <w:szCs w:val="21"/>
              </w:rPr>
              <w:t>500W以上不间断电源</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套</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17</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光学距离指示器</w:t>
            </w: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套</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18</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机械距离指示器</w:t>
            </w: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套</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19</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片盒架</w:t>
            </w: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r>
              <w:rPr>
                <w:rFonts w:hint="eastAsia" w:ascii="宋体" w:hAnsi="宋体"/>
                <w:kern w:val="0"/>
                <w:szCs w:val="21"/>
              </w:rPr>
              <w:t>14″×14″、14″×17″ 各1个</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个</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20</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对讲系统</w:t>
            </w: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套</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21</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电器组件备件</w:t>
            </w: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套</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22</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备件包</w:t>
            </w: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套</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23</w:t>
            </w:r>
          </w:p>
        </w:tc>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随机工具</w:t>
            </w:r>
          </w:p>
        </w:tc>
        <w:tc>
          <w:tcPr>
            <w:tcW w:w="4494" w:type="dxa"/>
            <w:tcBorders>
              <w:top w:val="single" w:color="auto" w:sz="4" w:space="0"/>
              <w:left w:val="single" w:color="auto" w:sz="4" w:space="0"/>
              <w:bottom w:val="single" w:color="auto" w:sz="4" w:space="0"/>
              <w:right w:val="single" w:color="auto" w:sz="4" w:space="0"/>
            </w:tcBorders>
          </w:tcPr>
          <w:p>
            <w:pPr>
              <w:rPr>
                <w:rFonts w:ascii="宋体"/>
                <w:kern w:val="0"/>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套</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r>
              <w:rPr>
                <w:rFonts w:hint="eastAsia" w:ascii="宋体" w:hAnsi="宋体"/>
                <w:kern w:val="0"/>
                <w:szCs w:val="21"/>
              </w:rPr>
              <w:t>1</w:t>
            </w:r>
          </w:p>
        </w:tc>
      </w:tr>
    </w:tbl>
    <w:p>
      <w:pPr>
        <w:pStyle w:val="2"/>
        <w:tabs>
          <w:tab w:val="left" w:pos="540"/>
          <w:tab w:val="left" w:pos="900"/>
        </w:tabs>
        <w:ind w:firstLine="420" w:firstLineChars="200"/>
        <w:rPr>
          <w:szCs w:val="21"/>
        </w:rPr>
      </w:pPr>
    </w:p>
    <w:p>
      <w:pPr>
        <w:pStyle w:val="2"/>
        <w:tabs>
          <w:tab w:val="left" w:pos="540"/>
          <w:tab w:val="left" w:pos="900"/>
        </w:tabs>
        <w:ind w:firstLine="482" w:firstLineChars="200"/>
        <w:rPr>
          <w:rFonts w:ascii="宋体" w:hAnsi="宋体"/>
          <w:b/>
          <w:bCs/>
          <w:color w:val="000000"/>
          <w:sz w:val="24"/>
          <w:szCs w:val="24"/>
        </w:rPr>
      </w:pPr>
      <w:r>
        <w:rPr>
          <w:rFonts w:hint="eastAsia" w:ascii="宋体" w:hAnsi="宋体"/>
          <w:b/>
          <w:bCs/>
          <w:color w:val="000000"/>
          <w:sz w:val="24"/>
          <w:szCs w:val="24"/>
        </w:rPr>
        <w:t>二)、模拟机操作控制系统功能：</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2.1  所有模拟机机械运动可由控制室和模拟机室内同步操作；</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2.2  可通过控制台及网络系统自动载入模拟参数，实现自动摆位；</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2.3  模拟机的所有机械移动/转动的参数以数字同时显示；</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2.4  实时交互显示光阑野和井字线的位移图像；</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2.5  自动移动功能：自动到位；</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2.6  根据病人的模拟体位不同，可自动设置模拟参数；</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2.7  具备可储存设置各加速器厂家不同型号和类型加速器的机械参数的功能；</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2.8  采用国际主流的医学专用键盘，可通过数字键盘输入所有模拟参数；</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2.9  无论是数字化参数及数字化接口对所有厂家的加速器(瓦里安、医科达、西门子等)都可兼容和开放。</w:t>
      </w:r>
    </w:p>
    <w:p>
      <w:pPr>
        <w:pStyle w:val="2"/>
        <w:tabs>
          <w:tab w:val="left" w:pos="540"/>
          <w:tab w:val="left" w:pos="900"/>
        </w:tabs>
        <w:ind w:firstLine="482" w:firstLineChars="200"/>
        <w:rPr>
          <w:rFonts w:ascii="宋体" w:hAnsi="宋体"/>
          <w:b/>
          <w:bCs/>
          <w:color w:val="000000"/>
          <w:sz w:val="24"/>
          <w:szCs w:val="24"/>
        </w:rPr>
      </w:pPr>
      <w:r>
        <w:rPr>
          <w:rFonts w:hint="eastAsia" w:ascii="宋体" w:hAnsi="宋体"/>
          <w:b/>
          <w:bCs/>
          <w:color w:val="000000"/>
          <w:sz w:val="24"/>
          <w:szCs w:val="24"/>
        </w:rPr>
        <w:t>三)、全数字化图像处理功能：</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3.1  可对透视中的图像实时显示实时显示；</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3.2  末帧冻结；</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3.3  局部放缩；</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3.4  黑白反转；</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3.5  多幅显示；</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3.6  图像降噪，窗宽、窗位调整；</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3.7  目标测量：距离、角度、面积；</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3.8  病档及图像管理；</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3.9  透视图像连续采集、回放、保存功能；</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3.10 图像自动拼接；</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3.11 自动图像几何畸变校正功能；</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3.12 自动显示井字线和实时移动；</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3.13 自动获取模拟机所有模拟参数，并与图像、病人姓名和ID号码同时保存；</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3.14 病人的图像信息及模拟参数可本地保存；</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3.15 图像及报告打印；</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3.16 具有标准的DICOM RT接口，可输出DICOM RT image图像文件至符合DICOM RT标准的网络或设备</w:t>
      </w:r>
    </w:p>
    <w:p>
      <w:pPr>
        <w:pStyle w:val="2"/>
        <w:tabs>
          <w:tab w:val="left" w:pos="540"/>
          <w:tab w:val="left" w:pos="900"/>
        </w:tabs>
        <w:ind w:firstLine="420" w:firstLineChars="200"/>
        <w:rPr>
          <w:rFonts w:ascii="宋体" w:hAnsi="宋体"/>
          <w:b/>
          <w:bCs/>
          <w:color w:val="000000"/>
          <w:sz w:val="24"/>
          <w:szCs w:val="24"/>
        </w:rPr>
      </w:pPr>
      <w:r>
        <w:rPr>
          <w:rFonts w:hint="eastAsia" w:ascii="宋体" w:hAnsi="宋体"/>
          <w:color w:val="000000"/>
          <w:kern w:val="0"/>
          <w:szCs w:val="21"/>
        </w:rPr>
        <w:t>★</w:t>
      </w:r>
      <w:r>
        <w:rPr>
          <w:rFonts w:hint="eastAsia" w:ascii="宋体" w:hAnsi="宋体"/>
          <w:b/>
          <w:bCs/>
          <w:color w:val="000000"/>
          <w:sz w:val="24"/>
          <w:szCs w:val="24"/>
        </w:rPr>
        <w:t>四）、基于2D/2D图像的计划验证功能</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4.1  支持DICOM标准格式DRR图像输入</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4.2  具有自动、手动两种配准方式</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4.3  具有验证配准结果多种显示方式</w:t>
      </w:r>
    </w:p>
    <w:p>
      <w:pPr>
        <w:pStyle w:val="2"/>
        <w:tabs>
          <w:tab w:val="left" w:pos="540"/>
          <w:tab w:val="left" w:pos="900"/>
        </w:tabs>
        <w:ind w:firstLine="420" w:firstLineChars="200"/>
        <w:rPr>
          <w:rFonts w:ascii="宋体" w:hAnsi="宋体"/>
          <w:bCs/>
          <w:color w:val="000000"/>
          <w:szCs w:val="21"/>
        </w:rPr>
      </w:pPr>
      <w:r>
        <w:rPr>
          <w:rFonts w:hint="eastAsia" w:ascii="宋体" w:hAnsi="宋体"/>
          <w:bCs/>
          <w:color w:val="000000"/>
          <w:szCs w:val="21"/>
        </w:rPr>
        <w:t>4.4  等中心位置验证，自动生成X、Y、Z三个方向的位置偏移量</w:t>
      </w:r>
    </w:p>
    <w:p>
      <w:pPr>
        <w:ind w:firstLine="840" w:firstLineChars="400"/>
      </w:pPr>
      <w:r>
        <w:rPr>
          <w:rFonts w:hint="eastAsia" w:ascii="宋体" w:hAnsi="宋体"/>
          <w:bCs/>
          <w:color w:val="000000"/>
          <w:szCs w:val="21"/>
        </w:rPr>
        <w:t>4.5  任意角度射野图像验证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F0A7C"/>
    <w:rsid w:val="37BF0A7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3"/>
    <w:basedOn w:val="1"/>
    <w:qFormat/>
    <w:uiPriority w:val="99"/>
    <w:pPr>
      <w:ind w:left="359" w:leftChars="171" w:firstLine="359" w:firstLineChars="171"/>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2018-06-12T01:19:00Z</dcterms:created>
  <dc:creator>Administrator</dc:creator>
  <cp:lastModifiedBy>Administrator</cp:lastModifiedBy>
  <dcterms:modified xsi:type="dcterms:W3CDTF">2018-06-12T01:20:51Z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